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5AA5F" w14:textId="2D299466" w:rsidR="00FF149C" w:rsidRPr="00FF149C" w:rsidRDefault="00FF149C" w:rsidP="00673E37">
      <w:pPr>
        <w:pStyle w:val="Heading1"/>
        <w:jc w:val="both"/>
        <w:rPr>
          <w:lang w:val="vi-VN"/>
        </w:rPr>
      </w:pPr>
      <w:bookmarkStart w:id="0" w:name="_Toc166741105"/>
      <w:r w:rsidRPr="00FF149C">
        <w:rPr>
          <w:lang w:val="vi-VN"/>
        </w:rPr>
        <w:t>VỎ PHONG HÓA TRẦM TÍCH</w:t>
      </w:r>
      <w:bookmarkEnd w:id="0"/>
    </w:p>
    <w:p w14:paraId="6A95ABB1" w14:textId="77777777" w:rsidR="00FF149C" w:rsidRPr="0042527D" w:rsidRDefault="00FF149C" w:rsidP="00FF149C">
      <w:pPr>
        <w:autoSpaceDE w:val="0"/>
        <w:autoSpaceDN w:val="0"/>
        <w:adjustRightInd w:val="0"/>
        <w:spacing w:before="60" w:line="240" w:lineRule="auto"/>
        <w:ind w:firstLine="0"/>
        <w:rPr>
          <w:rFonts w:eastAsia="ArialMT"/>
          <w:sz w:val="28"/>
          <w:szCs w:val="28"/>
          <w:lang w:val="vi-VN"/>
        </w:rPr>
      </w:pPr>
      <w:r w:rsidRPr="0042527D">
        <w:rPr>
          <w:rFonts w:eastAsia="ArialMT"/>
          <w:sz w:val="28"/>
          <w:szCs w:val="28"/>
          <w:lang w:val="vi-VN"/>
        </w:rPr>
        <w:t>sản phẩm của quá trình phá hủy đá gốc và các khoáng vật trong đá dược di chuyển theo các dòng nước và tích tụ lại khi gặp các điều kiện thuận lợi tạo thành vỏ phong hóa trầm tích. Ở Việt Nam, vỏ phong hóa trầm tích có các loại sau:</w:t>
      </w:r>
    </w:p>
    <w:p w14:paraId="0AE89373"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lang w:val="vi-VN"/>
        </w:rPr>
        <w:t xml:space="preserve">Vỏ phong hóa trầm tích sialit: thường gặp ở các vùng đồng bằng được hình thành do quá trình lắng đọng phù sa của hệ thống sông ngòi nước ta. Thành phần chủ yếu của VPHTT là các loại keo sét, ngoài ra còn có các khoáng nguyên sinh như thạch anh, fenspat, mica. </w:t>
      </w:r>
      <w:r w:rsidRPr="0042527D">
        <w:rPr>
          <w:rFonts w:eastAsia="ArialMT"/>
          <w:sz w:val="28"/>
          <w:szCs w:val="28"/>
        </w:rPr>
        <w:t>Vùng ven biển còn gặp loại vỏ phong hóa clorua, sunphat - sialit.</w:t>
      </w:r>
    </w:p>
    <w:p w14:paraId="176D56B5"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rPr>
        <w:t>Vỏ phong hóa cacbonat - sialit: với thành phần giống như vỏ phong hóa trầm tích sialit nhưng trong đó có chứa một lượng CaCO</w:t>
      </w:r>
      <w:r w:rsidRPr="0042527D">
        <w:rPr>
          <w:rFonts w:eastAsia="ArialMT"/>
          <w:sz w:val="28"/>
          <w:szCs w:val="28"/>
          <w:vertAlign w:val="subscript"/>
        </w:rPr>
        <w:t>3</w:t>
      </w:r>
      <w:r w:rsidRPr="0042527D">
        <w:rPr>
          <w:rFonts w:eastAsia="ArialMT"/>
          <w:sz w:val="28"/>
          <w:szCs w:val="28"/>
        </w:rPr>
        <w:t xml:space="preserve"> nhất định.</w:t>
      </w:r>
    </w:p>
    <w:p w14:paraId="58A40C82"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rPr>
        <w:t>Vỏ phong hóa clorua, sunphat, cacbonat - sialit: thành phần cũng gần giống 2 loại vỏ phong hóa trầm tích sialit và cacbonat - sialit nhưng có chứa thêm các muối clorua sunphat của các chất kiềm và kiềm đất.</w:t>
      </w:r>
    </w:p>
    <w:p w14:paraId="2880BE41" w14:textId="77777777" w:rsidR="00FF149C" w:rsidRPr="0042527D" w:rsidRDefault="00FF149C" w:rsidP="00FF149C">
      <w:pPr>
        <w:spacing w:before="60" w:line="240" w:lineRule="auto"/>
        <w:ind w:firstLine="567"/>
        <w:rPr>
          <w:rFonts w:eastAsia="Times New Roman"/>
          <w:bCs w:val="0"/>
          <w:sz w:val="28"/>
          <w:szCs w:val="28"/>
        </w:rPr>
      </w:pPr>
      <w:r w:rsidRPr="0042527D">
        <w:rPr>
          <w:rFonts w:eastAsia="Times New Roman"/>
          <w:sz w:val="28"/>
          <w:szCs w:val="28"/>
        </w:rPr>
        <w:t xml:space="preserve">Ở nước ta các quá trình hình thành đất bồi tụ diễn ra thường xuyên hàng năm ở các khu vực dọc theo các hệ thống sông suối và thung lũng. Quá trình tích tụ các vật liệu phù sa và dốc tụ tạo nên các đồng bằng châu thổ. Đặc tính chung của sản phẩm bồi tụ là trẻ, qua môi trường nước bồi lắng tích tụ các sản phẩm rửa trôi của đất feralit. Sản phẩm bồi tụ được bổ sung thành phần kiềm và silic do sông suối rửa lũa đá gốc cũng như của quá trình đào sâu lòng ở thượng nguồn. Bởi vậy đất có tính chất từ ít chua đến trung tính. </w:t>
      </w:r>
    </w:p>
    <w:p w14:paraId="6E0F9415" w14:textId="77777777" w:rsidR="00FF149C" w:rsidRPr="0042527D" w:rsidRDefault="00FF149C" w:rsidP="00FF149C">
      <w:pPr>
        <w:spacing w:before="60" w:line="240" w:lineRule="auto"/>
        <w:ind w:firstLine="567"/>
        <w:rPr>
          <w:rFonts w:eastAsia="Times New Roman"/>
          <w:bCs w:val="0"/>
          <w:sz w:val="28"/>
          <w:szCs w:val="28"/>
        </w:rPr>
      </w:pPr>
      <w:r w:rsidRPr="0042527D">
        <w:rPr>
          <w:rFonts w:eastAsia="Times New Roman"/>
          <w:sz w:val="28"/>
          <w:szCs w:val="28"/>
        </w:rPr>
        <w:t>Vỏ phong hoá ferit - sialit hình thành trên các thềm phù sa cổ có tuổi Q</w:t>
      </w:r>
      <w:r w:rsidRPr="0042527D">
        <w:rPr>
          <w:rFonts w:eastAsia="Times New Roman"/>
          <w:sz w:val="28"/>
          <w:szCs w:val="28"/>
          <w:vertAlign w:val="subscript"/>
        </w:rPr>
        <w:t>1</w:t>
      </w:r>
      <w:r w:rsidRPr="0042527D">
        <w:rPr>
          <w:rFonts w:eastAsia="Times New Roman"/>
          <w:sz w:val="28"/>
          <w:szCs w:val="28"/>
          <w:vertAlign w:val="superscript"/>
        </w:rPr>
        <w:t>1</w:t>
      </w:r>
      <w:r w:rsidRPr="0042527D">
        <w:rPr>
          <w:rFonts w:eastAsia="Times New Roman"/>
          <w:sz w:val="28"/>
          <w:szCs w:val="28"/>
          <w:vertAlign w:val="subscript"/>
        </w:rPr>
        <w:t xml:space="preserve"> </w:t>
      </w:r>
      <w:r w:rsidRPr="0042527D">
        <w:rPr>
          <w:rFonts w:eastAsia="Times New Roman"/>
          <w:sz w:val="28"/>
          <w:szCs w:val="28"/>
        </w:rPr>
        <w:t>- Q</w:t>
      </w:r>
      <w:r w:rsidRPr="0042527D">
        <w:rPr>
          <w:rFonts w:eastAsia="Times New Roman"/>
          <w:sz w:val="28"/>
          <w:szCs w:val="28"/>
          <w:vertAlign w:val="subscript"/>
        </w:rPr>
        <w:t>2</w:t>
      </w:r>
      <w:r w:rsidRPr="0042527D">
        <w:rPr>
          <w:rFonts w:eastAsia="Times New Roman"/>
          <w:sz w:val="28"/>
          <w:szCs w:val="28"/>
          <w:vertAlign w:val="superscript"/>
        </w:rPr>
        <w:t>2</w:t>
      </w:r>
      <w:r w:rsidRPr="0042527D">
        <w:rPr>
          <w:rFonts w:eastAsia="Times New Roman"/>
          <w:sz w:val="28"/>
          <w:szCs w:val="28"/>
        </w:rPr>
        <w:t xml:space="preserve"> được phân bố chủ yếu trên các dạng địa hình bằng và hơi lượn sóng. Cấu trúc đứng của loại VPH này có tầng cuội sỏi bên dưới, tầng tích tụ phân lớp và tầng sét pha limon trên mặt. Nhiều nơi trong phẫu diện xuất hiện tầng đá ong và kết von. Đất màu nâu vàng có các xen kẽ cát pha limon, sét pha hoặc lớp sỏi sạn phong hoá yếu bên ngoài có màng sắt phủ. Độ dày tầng đất thay đổi tuỳ theo từng nơi. Thành phần khoáng sét trong đất ferit - sialit phần lớn là caolinit và halorit, fenspat và clorit thấp. Ngoài ra còn có gơtit ngậm nước, thạch anh, mutscovit, v.v. Lượng secquioxyt dao động lớn. Hàm lượng cation kiềm và kiềm thổ cũng thấp, đất có phản ứng chua, khả năng trao đổi thấp và độ no bazơ trung bình. Hàm lượng silic cao trong đó thạch anh chiếm ưu thế có nguồn gốc sa bồi. Có thể coi quá trình ferit - sialit là quá trình trung gian giữa quá trình feralit ở vùng đồi núi và quá trình sialit thực thụ ở vùng đồng bằng.</w:t>
      </w:r>
    </w:p>
    <w:p w14:paraId="66B0ECFA" w14:textId="77777777" w:rsidR="00FF149C" w:rsidRPr="0042527D" w:rsidRDefault="00FF149C" w:rsidP="00FF149C">
      <w:pPr>
        <w:spacing w:before="60" w:line="240" w:lineRule="auto"/>
        <w:ind w:firstLine="567"/>
        <w:rPr>
          <w:rFonts w:eastAsia="Times New Roman"/>
          <w:bCs w:val="0"/>
          <w:sz w:val="28"/>
          <w:szCs w:val="28"/>
        </w:rPr>
      </w:pPr>
      <w:r w:rsidRPr="0042527D">
        <w:rPr>
          <w:rFonts w:eastAsia="Times New Roman"/>
          <w:sz w:val="28"/>
          <w:szCs w:val="28"/>
        </w:rPr>
        <w:t xml:space="preserve">Quá trình sialit diễn ra ở trên các vùng phù sa cũ và phù sa mới ở đồng bằng. Môi trường đất của quá trình này là trung tính đến kiềm yếu, độ no bazơ cao, canxi và magiê chiếm nhiều trong các cation hấp phụ. Thành phần phù sa còn có nhiều các hạt thạch anh, fenspat và mica (biotit hay mutcovit). Ngoài ra còn có các hạt canxit, clorit và hoblen. Giai đoạn đầu của quá trình sialit là tích tụ các vật liệu được chọn lọc do dòng chảy đem tới. Các phù sa lắng đọng trong điều kiện ngập nước (glây hoá) làm các màng sắt bị hoà tan. Các khoáng vật khác như mica tiếp tục bị phân huỷ. Màu đất trở nên nâu xám và kiến trúc của khoáng sét dần bị biến đổi. Phẫu diện đất phù sa phân lớp do ảnh hưởng của các chu kỳ bồi lắng và quá </w:t>
      </w:r>
      <w:r w:rsidRPr="0042527D">
        <w:rPr>
          <w:rFonts w:eastAsia="Times New Roman"/>
          <w:sz w:val="28"/>
          <w:szCs w:val="28"/>
        </w:rPr>
        <w:lastRenderedPageBreak/>
        <w:t>trình canh tác. Hầu hết quá trình sialit diễn ra trong điều kiện có mực nước ngầm nông ảnh hưởng nhiều đến trao đổi thành phần hoá học trong các tầng đất. Những nơi trũng úng ngập nước thường xuyên quá trình sialit glây xuất hiện. Đất có màu nâu xám xanh, hệ quả của quá trình chuyển Fe</w:t>
      </w:r>
      <w:r w:rsidRPr="0042527D">
        <w:rPr>
          <w:rFonts w:eastAsia="Times New Roman"/>
          <w:sz w:val="28"/>
          <w:szCs w:val="28"/>
          <w:vertAlign w:val="superscript"/>
        </w:rPr>
        <w:t xml:space="preserve">3+ </w:t>
      </w:r>
      <w:r w:rsidRPr="0042527D">
        <w:rPr>
          <w:rFonts w:eastAsia="Times New Roman"/>
          <w:sz w:val="28"/>
          <w:szCs w:val="28"/>
        </w:rPr>
        <w:t>thành Fe</w:t>
      </w:r>
      <w:r w:rsidRPr="0042527D">
        <w:rPr>
          <w:rFonts w:eastAsia="Times New Roman"/>
          <w:sz w:val="28"/>
          <w:szCs w:val="28"/>
          <w:vertAlign w:val="superscript"/>
        </w:rPr>
        <w:t>2+</w:t>
      </w:r>
      <w:r w:rsidRPr="0042527D">
        <w:rPr>
          <w:rFonts w:eastAsia="Times New Roman"/>
          <w:sz w:val="28"/>
          <w:szCs w:val="28"/>
        </w:rPr>
        <w:t xml:space="preserve"> di động.</w:t>
      </w:r>
      <w:r w:rsidRPr="0042527D">
        <w:rPr>
          <w:rFonts w:eastAsia="Times New Roman"/>
          <w:sz w:val="28"/>
          <w:szCs w:val="28"/>
        </w:rPr>
        <w:tab/>
      </w:r>
    </w:p>
    <w:p w14:paraId="2C801CB2"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lang w:val="vi-VN"/>
        </w:rPr>
        <w:t>V</w:t>
      </w:r>
      <w:r w:rsidRPr="0042527D">
        <w:rPr>
          <w:rFonts w:eastAsia="ArialMT"/>
          <w:sz w:val="28"/>
          <w:szCs w:val="28"/>
        </w:rPr>
        <w:t>ỏ phong hóa trầm tích sial</w:t>
      </w:r>
      <w:r w:rsidRPr="0042527D">
        <w:rPr>
          <w:rFonts w:eastAsia="ArialMT"/>
          <w:sz w:val="28"/>
          <w:szCs w:val="28"/>
          <w:lang w:val="vi-VN"/>
        </w:rPr>
        <w:t>i</w:t>
      </w:r>
      <w:r w:rsidRPr="0042527D">
        <w:rPr>
          <w:rFonts w:eastAsia="ArialMT"/>
          <w:sz w:val="28"/>
          <w:szCs w:val="28"/>
        </w:rPr>
        <w:t>t ở nước ta có thể chia thành 2 nhóm: nhóm không bị nhiễm mặn và nhóm bị nhiễm mặn.</w:t>
      </w:r>
    </w:p>
    <w:p w14:paraId="49D9A564"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i/>
          <w:iCs/>
          <w:sz w:val="28"/>
          <w:szCs w:val="28"/>
        </w:rPr>
        <w:t>Quá trình tích tụ sial</w:t>
      </w:r>
      <w:r w:rsidRPr="0042527D">
        <w:rPr>
          <w:rFonts w:eastAsia="ArialMT"/>
          <w:i/>
          <w:iCs/>
          <w:sz w:val="28"/>
          <w:szCs w:val="28"/>
          <w:lang w:val="vi-VN"/>
        </w:rPr>
        <w:t>i</w:t>
      </w:r>
      <w:r w:rsidRPr="0042527D">
        <w:rPr>
          <w:rFonts w:eastAsia="ArialMT"/>
          <w:i/>
          <w:iCs/>
          <w:sz w:val="28"/>
          <w:szCs w:val="28"/>
        </w:rPr>
        <w:t>t không bị nhiễm mặn:</w:t>
      </w:r>
      <w:r w:rsidRPr="0042527D">
        <w:rPr>
          <w:rFonts w:eastAsia="ArialMT"/>
          <w:sz w:val="28"/>
          <w:szCs w:val="28"/>
        </w:rPr>
        <w:t xml:space="preserve"> xảy ra tại các vùng đất phù sa của các con sông. Do những đặc điểm hóa lý khác nhau của các loại đá mẹ đã tạo nên vùng đất phù sa trù phú, đồng thời là nguyên nhân chính tạo thành những </w:t>
      </w:r>
      <w:r w:rsidRPr="0042527D">
        <w:rPr>
          <w:rFonts w:eastAsia="ArialMT"/>
          <w:sz w:val="28"/>
          <w:szCs w:val="28"/>
          <w:lang w:val="vi-VN"/>
        </w:rPr>
        <w:t>VPH</w:t>
      </w:r>
      <w:r w:rsidRPr="0042527D">
        <w:rPr>
          <w:rFonts w:eastAsia="ArialMT"/>
          <w:sz w:val="28"/>
          <w:szCs w:val="28"/>
        </w:rPr>
        <w:t xml:space="preserve"> tích tụ sialit với các đặc điểm khác nhau về thành phần khoáng vật, tính chất hóa học và lý học của chúng.</w:t>
      </w:r>
    </w:p>
    <w:p w14:paraId="3DAAC72B"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rPr>
        <w:t>Ở miền Bắc Việt Nam, trầm tích sông Hồng chiếm diện tích lớn nhất với thành phần cơ giới ở các khu vực rất khác nhau (từ cát đến sét tùy điều kiện hình thành). Ở những nơi có địa hình cao như những dãy bờ biển cổ, thành phần cơ giới nhẹ, còn tại những chỗ đất thấp thì nặng</w:t>
      </w:r>
      <w:r w:rsidRPr="0042527D">
        <w:rPr>
          <w:rFonts w:eastAsia="ArialMT"/>
          <w:sz w:val="28"/>
          <w:szCs w:val="28"/>
          <w:lang w:val="vi-VN"/>
        </w:rPr>
        <w:t xml:space="preserve"> hơn</w:t>
      </w:r>
      <w:r w:rsidRPr="0042527D">
        <w:rPr>
          <w:rFonts w:eastAsia="ArialMT"/>
          <w:sz w:val="28"/>
          <w:szCs w:val="28"/>
        </w:rPr>
        <w:t xml:space="preserve"> do có tỷ lệ sét cao. Điển hình về tính chất phù sa là hàm lượng kiềm và kiềm thổ cao. Song trong đất phù sa nhiều tuổi hơn của sông Hồng có hàm lượng kiềm thổ thấp là do biotit bị phong hóa</w:t>
      </w:r>
      <w:r w:rsidRPr="0042527D">
        <w:rPr>
          <w:rFonts w:eastAsia="ArialMT"/>
          <w:sz w:val="28"/>
          <w:szCs w:val="28"/>
          <w:lang w:val="vi-VN"/>
        </w:rPr>
        <w:t>,</w:t>
      </w:r>
      <w:r w:rsidRPr="0042527D">
        <w:rPr>
          <w:rFonts w:eastAsia="ArialMT"/>
          <w:sz w:val="28"/>
          <w:szCs w:val="28"/>
        </w:rPr>
        <w:t xml:space="preserve"> các bazơ trong đó bị rửa trôi và canxít bị phân hủy.</w:t>
      </w:r>
    </w:p>
    <w:p w14:paraId="5BA78E4B"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sz w:val="28"/>
          <w:szCs w:val="28"/>
        </w:rPr>
        <w:t xml:space="preserve">Những biến đổi về khoáng vật hóa học đang diễn ra trong các lớp trầm tích của châu thổ Bắc Bộ tùy theo tuổi mà phản ảnh rõ về mặt hình thái và tính chất vật lý của chúng. Các lớp trầm tích này đã mất đi màu đỏ (do bị glây hóa, các màng sắt bị hòa tan, các loại mica màu cũng bị phá hủy) </w:t>
      </w:r>
      <w:r w:rsidRPr="0042527D">
        <w:rPr>
          <w:rFonts w:eastAsia="ArialMT"/>
          <w:sz w:val="28"/>
          <w:szCs w:val="28"/>
          <w:lang w:val="vi-VN"/>
        </w:rPr>
        <w:t>và</w:t>
      </w:r>
      <w:r w:rsidRPr="0042527D">
        <w:rPr>
          <w:rFonts w:eastAsia="ArialMT"/>
          <w:sz w:val="28"/>
          <w:szCs w:val="28"/>
        </w:rPr>
        <w:t xml:space="preserve"> biến thành nâu, xám, cấu trúc điển hình của nó dần dần bị mất đi. Ở nơi có địa hình thấp trũng các quá trình này diễn ra rất nhanh.</w:t>
      </w:r>
    </w:p>
    <w:p w14:paraId="460AACA3" w14:textId="77777777" w:rsidR="00FF149C" w:rsidRPr="0042527D" w:rsidRDefault="00FF149C" w:rsidP="00FF149C">
      <w:pPr>
        <w:autoSpaceDE w:val="0"/>
        <w:autoSpaceDN w:val="0"/>
        <w:adjustRightInd w:val="0"/>
        <w:spacing w:before="60" w:line="240" w:lineRule="auto"/>
        <w:ind w:firstLine="567"/>
        <w:rPr>
          <w:rFonts w:eastAsia="ArialMT"/>
          <w:sz w:val="28"/>
          <w:szCs w:val="28"/>
        </w:rPr>
      </w:pPr>
      <w:r w:rsidRPr="0042527D">
        <w:rPr>
          <w:rFonts w:eastAsia="ArialMT"/>
          <w:i/>
          <w:iCs/>
          <w:sz w:val="28"/>
          <w:szCs w:val="28"/>
        </w:rPr>
        <w:t>Quá trình tích tụ sial</w:t>
      </w:r>
      <w:r w:rsidRPr="0042527D">
        <w:rPr>
          <w:rFonts w:eastAsia="ArialMT"/>
          <w:i/>
          <w:iCs/>
          <w:sz w:val="28"/>
          <w:szCs w:val="28"/>
          <w:lang w:val="vi-VN"/>
        </w:rPr>
        <w:t>i</w:t>
      </w:r>
      <w:r w:rsidRPr="0042527D">
        <w:rPr>
          <w:rFonts w:eastAsia="ArialMT"/>
          <w:i/>
          <w:iCs/>
          <w:sz w:val="28"/>
          <w:szCs w:val="28"/>
        </w:rPr>
        <w:t>t bị nhiễm mặn:</w:t>
      </w:r>
      <w:r w:rsidRPr="0042527D">
        <w:rPr>
          <w:rFonts w:eastAsia="ArialMT"/>
          <w:sz w:val="28"/>
          <w:szCs w:val="28"/>
        </w:rPr>
        <w:t xml:space="preserve"> </w:t>
      </w:r>
      <w:r w:rsidRPr="0042527D">
        <w:rPr>
          <w:rFonts w:eastAsia="ArialMT"/>
          <w:sz w:val="28"/>
          <w:szCs w:val="28"/>
          <w:lang w:val="vi-VN"/>
        </w:rPr>
        <w:t>q</w:t>
      </w:r>
      <w:r w:rsidRPr="0042527D">
        <w:rPr>
          <w:rFonts w:eastAsia="ArialMT"/>
          <w:sz w:val="28"/>
          <w:szCs w:val="28"/>
        </w:rPr>
        <w:t>uá trình này xảy ra ở những vùng ven biển chịu ảnh hưởng trực tiếp của nước biển. Nước dưới đất bị nhiễm mặn, chứa từ 1-5</w:t>
      </w:r>
      <w:r w:rsidRPr="0042527D">
        <w:rPr>
          <w:rFonts w:eastAsia="ArialMT"/>
          <w:sz w:val="28"/>
          <w:szCs w:val="28"/>
          <w:lang w:val="vi-VN"/>
        </w:rPr>
        <w:t xml:space="preserve"> </w:t>
      </w:r>
      <w:r w:rsidRPr="0042527D">
        <w:rPr>
          <w:rFonts w:eastAsia="ArialMT"/>
          <w:sz w:val="28"/>
          <w:szCs w:val="28"/>
        </w:rPr>
        <w:t>g có khi đến 30</w:t>
      </w:r>
      <w:r w:rsidRPr="0042527D">
        <w:rPr>
          <w:rFonts w:eastAsia="ArialMT"/>
          <w:sz w:val="28"/>
          <w:szCs w:val="28"/>
          <w:lang w:val="vi-VN"/>
        </w:rPr>
        <w:t xml:space="preserve"> </w:t>
      </w:r>
      <w:r w:rsidRPr="0042527D">
        <w:rPr>
          <w:rFonts w:eastAsia="ArialMT"/>
          <w:sz w:val="28"/>
          <w:szCs w:val="28"/>
        </w:rPr>
        <w:t xml:space="preserve">g muối trong một lít nước. Trong điều kiện khí hậu ẩm của miền Bắc Việt Nam, khả năng bị mặn của </w:t>
      </w:r>
      <w:r w:rsidRPr="0042527D">
        <w:rPr>
          <w:rFonts w:eastAsia="ArialMT"/>
          <w:sz w:val="28"/>
          <w:szCs w:val="28"/>
          <w:lang w:val="vi-VN"/>
        </w:rPr>
        <w:t>VPH</w:t>
      </w:r>
      <w:r w:rsidRPr="0042527D">
        <w:rPr>
          <w:rFonts w:eastAsia="ArialMT"/>
          <w:sz w:val="28"/>
          <w:szCs w:val="28"/>
        </w:rPr>
        <w:t xml:space="preserve"> chỉ x</w:t>
      </w:r>
      <w:r w:rsidRPr="0042527D">
        <w:rPr>
          <w:rFonts w:eastAsia="ArialMT"/>
          <w:sz w:val="28"/>
          <w:szCs w:val="28"/>
          <w:lang w:val="vi-VN"/>
        </w:rPr>
        <w:t>ả</w:t>
      </w:r>
      <w:r w:rsidRPr="0042527D">
        <w:rPr>
          <w:rFonts w:eastAsia="ArialMT"/>
          <w:sz w:val="28"/>
          <w:szCs w:val="28"/>
        </w:rPr>
        <w:t>y ra trong trường hợp ảnh hưởng thường xuyên của nước biển.</w:t>
      </w:r>
    </w:p>
    <w:p w14:paraId="228DB771" w14:textId="77777777" w:rsidR="00FF149C" w:rsidRPr="00634DB1" w:rsidRDefault="00FF149C" w:rsidP="00FF149C">
      <w:pPr>
        <w:autoSpaceDE w:val="0"/>
        <w:autoSpaceDN w:val="0"/>
        <w:adjustRightInd w:val="0"/>
        <w:spacing w:line="240" w:lineRule="auto"/>
        <w:ind w:firstLine="720"/>
        <w:jc w:val="right"/>
        <w:rPr>
          <w:rFonts w:eastAsia="ArialMT"/>
          <w:b/>
          <w:sz w:val="20"/>
          <w:szCs w:val="20"/>
        </w:rPr>
      </w:pPr>
      <w:r w:rsidRPr="00634DB1">
        <w:rPr>
          <w:rFonts w:eastAsia="ArialMT"/>
          <w:sz w:val="20"/>
          <w:szCs w:val="20"/>
        </w:rPr>
        <w:tab/>
      </w:r>
      <w:r w:rsidRPr="00634DB1">
        <w:rPr>
          <w:rFonts w:eastAsia="ArialMT"/>
          <w:b/>
          <w:sz w:val="20"/>
          <w:szCs w:val="20"/>
        </w:rPr>
        <w:t>NGUYỄN MẠNH HÀ</w:t>
      </w:r>
    </w:p>
    <w:p w14:paraId="31C335CE" w14:textId="77777777" w:rsidR="00FF149C" w:rsidRPr="0042527D" w:rsidRDefault="00FF149C" w:rsidP="00FF149C">
      <w:pPr>
        <w:autoSpaceDE w:val="0"/>
        <w:autoSpaceDN w:val="0"/>
        <w:adjustRightInd w:val="0"/>
        <w:spacing w:line="240" w:lineRule="auto"/>
        <w:ind w:firstLine="0"/>
        <w:rPr>
          <w:rFonts w:eastAsia="Calibri"/>
          <w:sz w:val="24"/>
          <w:szCs w:val="24"/>
        </w:rPr>
      </w:pPr>
      <w:r w:rsidRPr="0042527D">
        <w:rPr>
          <w:rFonts w:eastAsia="Calibri"/>
          <w:b/>
          <w:sz w:val="24"/>
          <w:szCs w:val="24"/>
        </w:rPr>
        <w:t>Tài liệu tham khảo:</w:t>
      </w:r>
    </w:p>
    <w:p w14:paraId="28F3EBD1" w14:textId="77777777" w:rsidR="00FF149C" w:rsidRPr="0042527D" w:rsidRDefault="00FF149C" w:rsidP="00FF149C">
      <w:pPr>
        <w:spacing w:line="240" w:lineRule="auto"/>
        <w:ind w:firstLine="357"/>
        <w:rPr>
          <w:rFonts w:eastAsia="Calibri"/>
          <w:sz w:val="24"/>
          <w:szCs w:val="24"/>
        </w:rPr>
      </w:pPr>
      <w:r w:rsidRPr="0042527D">
        <w:rPr>
          <w:rFonts w:eastAsia="Calibri"/>
          <w:sz w:val="24"/>
          <w:szCs w:val="24"/>
        </w:rPr>
        <w:t xml:space="preserve">1. Hội Khoa học Đất Việt Nam, </w:t>
      </w:r>
      <w:r w:rsidRPr="0042527D">
        <w:rPr>
          <w:rFonts w:eastAsia="Calibri"/>
          <w:i/>
          <w:sz w:val="24"/>
          <w:szCs w:val="24"/>
        </w:rPr>
        <w:t>Bản chú giải Bản đồ Đất Việt Nam</w:t>
      </w:r>
      <w:r w:rsidRPr="0042527D">
        <w:rPr>
          <w:rFonts w:eastAsia="Calibri"/>
          <w:sz w:val="24"/>
          <w:szCs w:val="24"/>
        </w:rPr>
        <w:t>. Nxb. Khoa học và Kỹ thuật, Hà Nội, 1996.</w:t>
      </w:r>
    </w:p>
    <w:p w14:paraId="30AA6B72" w14:textId="77777777" w:rsidR="00FF149C" w:rsidRPr="0042527D" w:rsidRDefault="00FF149C" w:rsidP="00FF149C">
      <w:pPr>
        <w:spacing w:line="240" w:lineRule="auto"/>
        <w:ind w:firstLine="357"/>
        <w:rPr>
          <w:rFonts w:eastAsia="Calibri"/>
          <w:sz w:val="24"/>
          <w:szCs w:val="24"/>
        </w:rPr>
      </w:pPr>
      <w:r w:rsidRPr="0042527D">
        <w:rPr>
          <w:rFonts w:eastAsia="Calibri"/>
          <w:sz w:val="24"/>
          <w:szCs w:val="24"/>
        </w:rPr>
        <w:t xml:space="preserve">2. Bộ Giáo dục và Đào tạo, </w:t>
      </w:r>
      <w:r w:rsidRPr="0042527D">
        <w:rPr>
          <w:rFonts w:eastAsia="Calibri"/>
          <w:i/>
          <w:sz w:val="24"/>
          <w:szCs w:val="24"/>
        </w:rPr>
        <w:t>Giáo trình Thổ nhưỡng học</w:t>
      </w:r>
      <w:r w:rsidRPr="0042527D">
        <w:rPr>
          <w:rFonts w:eastAsia="Calibri"/>
          <w:sz w:val="24"/>
          <w:szCs w:val="24"/>
        </w:rPr>
        <w:t>. Nxb. Nông nghiệp, Hà Nội, 2000.</w:t>
      </w:r>
    </w:p>
    <w:p w14:paraId="14E8C8F0" w14:textId="77777777" w:rsidR="00FF149C" w:rsidRPr="00673E37" w:rsidRDefault="00FF149C" w:rsidP="00FF149C">
      <w:pPr>
        <w:spacing w:line="240" w:lineRule="auto"/>
        <w:ind w:firstLine="357"/>
        <w:rPr>
          <w:rFonts w:eastAsia="Calibri"/>
          <w:sz w:val="24"/>
          <w:szCs w:val="24"/>
        </w:rPr>
      </w:pPr>
      <w:r w:rsidRPr="0042527D">
        <w:rPr>
          <w:rFonts w:eastAsia="Calibri"/>
          <w:sz w:val="24"/>
          <w:szCs w:val="24"/>
        </w:rPr>
        <w:t xml:space="preserve">3. Hội Khoa học Đất Việt Nam, </w:t>
      </w:r>
      <w:r w:rsidRPr="0042527D">
        <w:rPr>
          <w:rFonts w:eastAsia="Calibri"/>
          <w:i/>
          <w:sz w:val="24"/>
          <w:szCs w:val="24"/>
        </w:rPr>
        <w:t>Từ điển Thổ nhưỡng học Anh – Việt</w:t>
      </w:r>
      <w:r w:rsidRPr="0042527D">
        <w:rPr>
          <w:rFonts w:eastAsia="Calibri"/>
          <w:sz w:val="24"/>
          <w:szCs w:val="24"/>
        </w:rPr>
        <w:t>. Nxb. Khoa học và Kỹ thuật, Hà Nội, 2000.</w:t>
      </w:r>
      <w:bookmarkStart w:id="1" w:name="_GoBack"/>
    </w:p>
    <w:p w14:paraId="41714E78" w14:textId="77777777" w:rsidR="00FF149C" w:rsidRPr="00673E37" w:rsidRDefault="00FF149C" w:rsidP="00FF149C">
      <w:pPr>
        <w:spacing w:line="240" w:lineRule="auto"/>
        <w:ind w:firstLine="357"/>
        <w:rPr>
          <w:rFonts w:eastAsia="Calibri"/>
          <w:sz w:val="24"/>
          <w:szCs w:val="24"/>
        </w:rPr>
      </w:pPr>
      <w:r w:rsidRPr="00673E37">
        <w:rPr>
          <w:rFonts w:eastAsia="Calibri"/>
          <w:sz w:val="24"/>
          <w:szCs w:val="24"/>
        </w:rPr>
        <w:t xml:space="preserve">4. Lê Thái Bạt, Phạm Quang Khánh, </w:t>
      </w:r>
      <w:r w:rsidRPr="00673E37">
        <w:rPr>
          <w:rFonts w:eastAsia="Calibri"/>
          <w:i/>
          <w:sz w:val="24"/>
          <w:szCs w:val="24"/>
        </w:rPr>
        <w:t>Quỹ đất Việt Nam các loại đất chính và sử dụng trong nông nghiệp.</w:t>
      </w:r>
      <w:r w:rsidRPr="00673E37">
        <w:rPr>
          <w:rFonts w:eastAsia="Calibri"/>
          <w:sz w:val="24"/>
          <w:szCs w:val="24"/>
        </w:rPr>
        <w:t xml:space="preserve"> Hội thảo quốc gia Đất Việt Nam: Hiện trạng sử dụng và thách thức. Nxb. Nông nghiệp, Hà Nội, 2015.</w:t>
      </w:r>
    </w:p>
    <w:p w14:paraId="32DC1CAC" w14:textId="77777777" w:rsidR="00FF149C" w:rsidRPr="00673E37" w:rsidRDefault="00FF149C" w:rsidP="00FF149C">
      <w:pPr>
        <w:spacing w:line="240" w:lineRule="auto"/>
        <w:ind w:firstLine="357"/>
        <w:rPr>
          <w:rFonts w:eastAsia="Calibri"/>
          <w:sz w:val="24"/>
          <w:szCs w:val="24"/>
        </w:rPr>
      </w:pPr>
      <w:r w:rsidRPr="00673E37">
        <w:rPr>
          <w:rFonts w:eastAsia="Calibri"/>
          <w:sz w:val="24"/>
          <w:szCs w:val="24"/>
        </w:rPr>
        <w:t xml:space="preserve">5. </w:t>
      </w:r>
      <w:hyperlink r:id="rId4" w:history="1">
        <w:r w:rsidRPr="00673E37">
          <w:rPr>
            <w:rStyle w:val="Hyperlink"/>
            <w:color w:val="auto"/>
            <w:sz w:val="24"/>
            <w:szCs w:val="24"/>
            <w:u w:val="none"/>
          </w:rPr>
          <w:t>https://www.baotangdat.com.vn</w:t>
        </w:r>
      </w:hyperlink>
      <w:r w:rsidRPr="00673E37">
        <w:rPr>
          <w:rFonts w:eastAsia="Calibri"/>
          <w:sz w:val="24"/>
          <w:szCs w:val="24"/>
          <w:lang w:val="vi-VN"/>
        </w:rPr>
        <w:t>.</w:t>
      </w:r>
      <w:r w:rsidRPr="00673E37">
        <w:rPr>
          <w:rFonts w:eastAsia="Calibri"/>
          <w:sz w:val="24"/>
          <w:szCs w:val="24"/>
        </w:rPr>
        <w:t xml:space="preserve"> Truy cập ngày 10.3.2021.</w:t>
      </w:r>
    </w:p>
    <w:bookmarkEnd w:id="1"/>
    <w:p w14:paraId="648B0681"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9C"/>
    <w:rsid w:val="000D735A"/>
    <w:rsid w:val="002F6C45"/>
    <w:rsid w:val="00503FBC"/>
    <w:rsid w:val="00673E37"/>
    <w:rsid w:val="006A7B17"/>
    <w:rsid w:val="007252EE"/>
    <w:rsid w:val="00A017D4"/>
    <w:rsid w:val="00CE30B8"/>
    <w:rsid w:val="00DC35EF"/>
    <w:rsid w:val="00F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4AD5"/>
  <w15:chartTrackingRefBased/>
  <w15:docId w15:val="{95970945-D9D7-4A71-BFDF-EC19920E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9C"/>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FF149C"/>
    <w:pPr>
      <w:keepNext/>
      <w:keepLines/>
      <w:spacing w:before="240" w:after="120" w:line="240" w:lineRule="auto"/>
      <w:ind w:firstLine="0"/>
      <w:jc w:val="center"/>
      <w:outlineLvl w:val="0"/>
    </w:pPr>
    <w:rPr>
      <w:rFonts w:eastAsia="ArialMT"/>
      <w:b/>
      <w:bCs w:val="0"/>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49C"/>
    <w:rPr>
      <w:rFonts w:ascii="Times New Roman" w:eastAsia="ArialMT" w:hAnsi="Times New Roman" w:cs="Times New Roman"/>
      <w:b/>
      <w:sz w:val="26"/>
      <w:szCs w:val="26"/>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Hyperlink">
    <w:name w:val="Hyperlink"/>
    <w:basedOn w:val="DefaultParagraphFont"/>
    <w:uiPriority w:val="99"/>
    <w:unhideWhenUsed/>
    <w:qFormat/>
    <w:rsid w:val="00FF1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otangda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2025-12-08T06:39:00Z</dcterms:created>
  <dcterms:modified xsi:type="dcterms:W3CDTF">2025-12-13T06:20:00Z</dcterms:modified>
</cp:coreProperties>
</file>